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Calibri" w:cs="Calibri" w:eastAsia="Calibri" w:hAnsi="Calibri"/>
          <w:b/>
          <w:bCs/>
          <w:color w:val="202A44"/>
          <w:sz w:val="40"/>
          <w:szCs w:val="40"/>
        </w:rPr>
        <w:t xml:space="preserve">Technical &amp; Organisational Measures</w:t>
      </w:r>
    </w:p>
    <w:p>
      <w:pPr>
        <w:spacing w:after="240"/>
      </w:pPr>
      <w:r>
        <w:rPr>
          <w:rFonts w:ascii="Calibri" w:cs="Calibri" w:eastAsia="Calibri" w:hAnsi="Calibri"/>
          <w:color w:val="5B6472"/>
          <w:sz w:val="20"/>
          <w:szCs w:val="20"/>
        </w:rPr>
        <w:t xml:space="preserve">FirstHour crisis communication platform  ·  Last reviewed: July 2026</w:t>
      </w:r>
    </w:p>
    <w:p>
      <w:pPr>
        <w:pBdr>
          <w:bottom w:val="single" w:color="D8DEE8" w:sz="6" w:space="1"/>
        </w:pBdr>
        <w:spacing w:after="160" w:before="60"/>
      </w:pPr>
      <w:r>
        <w:t xml:space="preserve"/>
      </w:r>
    </w:p>
    <w:p>
      <w:pPr>
        <w:spacing w:after="120"/>
      </w:pPr>
      <w:r>
        <w:rPr>
          <w:rFonts w:ascii="Calibri" w:cs="Calibri" w:eastAsia="Calibri" w:hAnsi="Calibri"/>
          <w:color w:val="222222"/>
          <w:sz w:val="21"/>
          <w:szCs w:val="21"/>
        </w:rPr>
        <w:t xml:space="preserve">This document describes the technical and organisational measures FirstHour has implemented to protect personal data, in line with Article 32 of the GDPR. It is intended as an annex to our Data Processing Agreement and as a summary for customers and prospects. The measures below are in effect today; planned work is set out under “Roadmap”.</w:t>
      </w:r>
    </w:p>
    <w:p>
      <w:pPr>
        <w:pStyle w:val="Heading2"/>
        <w:spacing w:after="100" w:before="260"/>
      </w:pPr>
      <w:r>
        <w:rPr>
          <w:rFonts w:ascii="Calibri" w:cs="Calibri" w:eastAsia="Calibri" w:hAnsi="Calibri"/>
          <w:b/>
          <w:bCs/>
          <w:color w:val="202A44"/>
          <w:sz w:val="26"/>
          <w:szCs w:val="26"/>
        </w:rPr>
        <w:t xml:space="preserve">1. Hosting &amp; infrastructure</w:t>
      </w:r>
    </w:p>
    <w:p>
      <w:pPr>
        <w:pStyle w:val="ListParagraph"/>
        <w:numPr>
          <w:ilvl w:val="0"/>
          <w:numId w:val="2"/>
        </w:numPr>
        <w:spacing w:after="60"/>
      </w:pPr>
      <w:r>
        <w:rPr>
          <w:rFonts w:ascii="Calibri" w:cs="Calibri" w:eastAsia="Calibri" w:hAnsi="Calibri"/>
          <w:color w:val="222222"/>
          <w:sz w:val="21"/>
          <w:szCs w:val="21"/>
        </w:rPr>
        <w:t xml:space="preserve">The platform is hosted entirely on Microsoft Azure, whose data centres are certified to ISO/IEC 27001 and SOC 1/2/3. FirstHour inherits the physical and environmental security of this infrastructure and does not operate its own data centres.</w:t>
      </w:r>
    </w:p>
    <w:p>
      <w:pPr>
        <w:pStyle w:val="ListParagraph"/>
        <w:numPr>
          <w:ilvl w:val="0"/>
          <w:numId w:val="2"/>
        </w:numPr>
        <w:spacing w:after="60"/>
      </w:pPr>
      <w:r>
        <w:rPr>
          <w:rFonts w:ascii="Calibri" w:cs="Calibri" w:eastAsia="Calibri" w:hAnsi="Calibri"/>
          <w:color w:val="222222"/>
          <w:sz w:val="21"/>
          <w:szCs w:val="21"/>
        </w:rPr>
        <w:t xml:space="preserve">All customer data is stored and processed within the European Union.</w:t>
      </w:r>
    </w:p>
    <w:p>
      <w:pPr>
        <w:pStyle w:val="ListParagraph"/>
        <w:numPr>
          <w:ilvl w:val="0"/>
          <w:numId w:val="2"/>
        </w:numPr>
        <w:spacing w:after="60"/>
      </w:pPr>
      <w:r>
        <w:rPr>
          <w:rFonts w:ascii="Calibri" w:cs="Calibri" w:eastAsia="Calibri" w:hAnsi="Calibri"/>
          <w:color w:val="222222"/>
          <w:sz w:val="21"/>
          <w:szCs w:val="21"/>
        </w:rPr>
        <w:t xml:space="preserve">Infrastructure is defined and provisioned as code, giving reproducible, reviewable and auditable environments.</w:t>
      </w:r>
    </w:p>
    <w:p>
      <w:pPr>
        <w:pStyle w:val="Heading2"/>
        <w:spacing w:after="100" w:before="260"/>
      </w:pPr>
      <w:r>
        <w:rPr>
          <w:rFonts w:ascii="Calibri" w:cs="Calibri" w:eastAsia="Calibri" w:hAnsi="Calibri"/>
          <w:b/>
          <w:bCs/>
          <w:color w:val="202A44"/>
          <w:sz w:val="26"/>
          <w:szCs w:val="26"/>
        </w:rPr>
        <w:t xml:space="preserve">2. Encryption</w:t>
      </w:r>
    </w:p>
    <w:p>
      <w:pPr>
        <w:pStyle w:val="ListParagraph"/>
        <w:numPr>
          <w:ilvl w:val="0"/>
          <w:numId w:val="2"/>
        </w:numPr>
        <w:spacing w:after="60"/>
      </w:pPr>
      <w:r>
        <w:rPr>
          <w:rFonts w:ascii="Calibri" w:cs="Calibri" w:eastAsia="Calibri" w:hAnsi="Calibri"/>
          <w:color w:val="222222"/>
          <w:sz w:val="21"/>
          <w:szCs w:val="21"/>
        </w:rPr>
        <w:t xml:space="preserve">Data in transit is protected with TLS.</w:t>
      </w:r>
    </w:p>
    <w:p>
      <w:pPr>
        <w:pStyle w:val="ListParagraph"/>
        <w:numPr>
          <w:ilvl w:val="0"/>
          <w:numId w:val="2"/>
        </w:numPr>
        <w:spacing w:after="60"/>
      </w:pPr>
      <w:r>
        <w:rPr>
          <w:rFonts w:ascii="Calibri" w:cs="Calibri" w:eastAsia="Calibri" w:hAnsi="Calibri"/>
          <w:color w:val="222222"/>
          <w:sz w:val="21"/>
          <w:szCs w:val="21"/>
        </w:rPr>
        <w:t xml:space="preserve">Data at rest is encrypted using AES-256.</w:t>
      </w:r>
    </w:p>
    <w:p>
      <w:pPr>
        <w:pStyle w:val="ListParagraph"/>
        <w:numPr>
          <w:ilvl w:val="0"/>
          <w:numId w:val="2"/>
        </w:numPr>
        <w:spacing w:after="60"/>
      </w:pPr>
      <w:r>
        <w:rPr>
          <w:rFonts w:ascii="Calibri" w:cs="Calibri" w:eastAsia="Calibri" w:hAnsi="Calibri"/>
          <w:color w:val="222222"/>
          <w:sz w:val="21"/>
          <w:szCs w:val="21"/>
        </w:rPr>
        <w:t xml:space="preserve">Credentials and keys are held in a managed secrets vault, isolated per environment and never stored in source control.</w:t>
      </w:r>
    </w:p>
    <w:p>
      <w:pPr>
        <w:pStyle w:val="Heading2"/>
        <w:spacing w:after="100" w:before="260"/>
      </w:pPr>
      <w:r>
        <w:rPr>
          <w:rFonts w:ascii="Calibri" w:cs="Calibri" w:eastAsia="Calibri" w:hAnsi="Calibri"/>
          <w:b/>
          <w:bCs/>
          <w:color w:val="202A44"/>
          <w:sz w:val="26"/>
          <w:szCs w:val="26"/>
        </w:rPr>
        <w:t xml:space="preserve">3. Access control &amp; authentication</w:t>
      </w:r>
    </w:p>
    <w:p>
      <w:pPr>
        <w:pStyle w:val="ListParagraph"/>
        <w:numPr>
          <w:ilvl w:val="0"/>
          <w:numId w:val="2"/>
        </w:numPr>
        <w:spacing w:after="60"/>
      </w:pPr>
      <w:r>
        <w:rPr>
          <w:rFonts w:ascii="Calibri" w:cs="Calibri" w:eastAsia="Calibri" w:hAnsi="Calibri"/>
          <w:color w:val="222222"/>
          <w:sz w:val="21"/>
          <w:szCs w:val="21"/>
        </w:rPr>
        <w:t xml:space="preserve">Access is token-based, with separate scopes so that external reviewers never receive platform-level access.</w:t>
      </w:r>
    </w:p>
    <w:p>
      <w:pPr>
        <w:pStyle w:val="ListParagraph"/>
        <w:numPr>
          <w:ilvl w:val="0"/>
          <w:numId w:val="2"/>
        </w:numPr>
        <w:spacing w:after="60"/>
      </w:pPr>
      <w:r>
        <w:rPr>
          <w:rFonts w:ascii="Calibri" w:cs="Calibri" w:eastAsia="Calibri" w:hAnsi="Calibri"/>
          <w:color w:val="222222"/>
          <w:sz w:val="21"/>
          <w:szCs w:val="21"/>
        </w:rPr>
        <w:t xml:space="preserve">Two-factor authentication (one-time password) is enforced on external approval flows.</w:t>
      </w:r>
    </w:p>
    <w:p>
      <w:pPr>
        <w:pStyle w:val="ListParagraph"/>
        <w:numPr>
          <w:ilvl w:val="0"/>
          <w:numId w:val="2"/>
        </w:numPr>
        <w:spacing w:after="60"/>
      </w:pPr>
      <w:r>
        <w:rPr>
          <w:rFonts w:ascii="Calibri" w:cs="Calibri" w:eastAsia="Calibri" w:hAnsi="Calibri"/>
          <w:color w:val="222222"/>
          <w:sz w:val="21"/>
          <w:szCs w:val="21"/>
        </w:rPr>
        <w:t xml:space="preserve">Passwords are hashed with modern, industry-standard algorithms and never stored in the clear.</w:t>
      </w:r>
    </w:p>
    <w:p>
      <w:pPr>
        <w:pStyle w:val="ListParagraph"/>
        <w:numPr>
          <w:ilvl w:val="0"/>
          <w:numId w:val="2"/>
        </w:numPr>
        <w:spacing w:after="60"/>
      </w:pPr>
      <w:r>
        <w:rPr>
          <w:rFonts w:ascii="Calibri" w:cs="Calibri" w:eastAsia="Calibri" w:hAnsi="Calibri"/>
          <w:color w:val="222222"/>
          <w:sz w:val="21"/>
          <w:szCs w:val="21"/>
        </w:rPr>
        <w:t xml:space="preserve">Access to production systems follows the principle of least privilege.</w:t>
      </w:r>
    </w:p>
    <w:p>
      <w:pPr>
        <w:pStyle w:val="ListParagraph"/>
        <w:numPr>
          <w:ilvl w:val="0"/>
          <w:numId w:val="2"/>
        </w:numPr>
        <w:spacing w:after="60"/>
      </w:pPr>
      <w:r>
        <w:rPr>
          <w:rFonts w:ascii="Calibri" w:cs="Calibri" w:eastAsia="Calibri" w:hAnsi="Calibri"/>
          <w:color w:val="222222"/>
          <w:sz w:val="21"/>
          <w:szCs w:val="21"/>
        </w:rPr>
        <w:t xml:space="preserve">Logical tenant isolation: every request is scoped to a single customer organisation, preventing cross-tenant data access.</w:t>
      </w:r>
    </w:p>
    <w:p>
      <w:pPr>
        <w:pStyle w:val="Heading2"/>
        <w:spacing w:after="100" w:before="260"/>
      </w:pPr>
      <w:r>
        <w:rPr>
          <w:rFonts w:ascii="Calibri" w:cs="Calibri" w:eastAsia="Calibri" w:hAnsi="Calibri"/>
          <w:b/>
          <w:bCs/>
          <w:color w:val="202A44"/>
          <w:sz w:val="26"/>
          <w:szCs w:val="26"/>
        </w:rPr>
        <w:t xml:space="preserve">4. Application security &amp; development</w:t>
      </w:r>
    </w:p>
    <w:p>
      <w:pPr>
        <w:pStyle w:val="ListParagraph"/>
        <w:numPr>
          <w:ilvl w:val="0"/>
          <w:numId w:val="2"/>
        </w:numPr>
        <w:spacing w:after="60"/>
      </w:pPr>
      <w:r>
        <w:rPr>
          <w:rFonts w:ascii="Calibri" w:cs="Calibri" w:eastAsia="Calibri" w:hAnsi="Calibri"/>
          <w:color w:val="222222"/>
          <w:sz w:val="21"/>
          <w:szCs w:val="21"/>
        </w:rPr>
        <w:t xml:space="preserve">All code changes are peer-reviewed before they are merged.</w:t>
      </w:r>
    </w:p>
    <w:p>
      <w:pPr>
        <w:pStyle w:val="ListParagraph"/>
        <w:numPr>
          <w:ilvl w:val="0"/>
          <w:numId w:val="2"/>
        </w:numPr>
        <w:spacing w:after="60"/>
      </w:pPr>
      <w:r>
        <w:rPr>
          <w:rFonts w:ascii="Calibri" w:cs="Calibri" w:eastAsia="Calibri" w:hAnsi="Calibri"/>
          <w:color w:val="222222"/>
          <w:sz w:val="21"/>
          <w:szCs w:val="21"/>
        </w:rPr>
        <w:t xml:space="preserve">Every change passes automated checks and tests before deployment.</w:t>
      </w:r>
    </w:p>
    <w:p>
      <w:pPr>
        <w:pStyle w:val="ListParagraph"/>
        <w:numPr>
          <w:ilvl w:val="0"/>
          <w:numId w:val="2"/>
        </w:numPr>
        <w:spacing w:after="60"/>
      </w:pPr>
      <w:r>
        <w:rPr>
          <w:rFonts w:ascii="Calibri" w:cs="Calibri" w:eastAsia="Calibri" w:hAnsi="Calibri"/>
          <w:color w:val="222222"/>
          <w:sz w:val="21"/>
          <w:szCs w:val="21"/>
        </w:rPr>
        <w:t xml:space="preserve">Releases run through automated pipelines; no manual changes are made to production.</w:t>
      </w:r>
    </w:p>
    <w:p>
      <w:pPr>
        <w:pStyle w:val="Heading2"/>
        <w:spacing w:after="100" w:before="260"/>
      </w:pPr>
      <w:r>
        <w:rPr>
          <w:rFonts w:ascii="Calibri" w:cs="Calibri" w:eastAsia="Calibri" w:hAnsi="Calibri"/>
          <w:b/>
          <w:bCs/>
          <w:color w:val="202A44"/>
          <w:sz w:val="26"/>
          <w:szCs w:val="26"/>
        </w:rPr>
        <w:t xml:space="preserve">5. Artificial intelligence</w:t>
      </w:r>
    </w:p>
    <w:p>
      <w:pPr>
        <w:pStyle w:val="ListParagraph"/>
        <w:numPr>
          <w:ilvl w:val="0"/>
          <w:numId w:val="2"/>
        </w:numPr>
        <w:spacing w:after="60"/>
      </w:pPr>
      <w:r>
        <w:rPr>
          <w:rFonts w:ascii="Calibri" w:cs="Calibri" w:eastAsia="Calibri" w:hAnsi="Calibri"/>
          <w:color w:val="222222"/>
          <w:sz w:val="21"/>
          <w:szCs w:val="21"/>
        </w:rPr>
        <w:t xml:space="preserve">AI processing runs within our cloud provider’s boundary. Customer content is not sent directly to third-party model providers.</w:t>
      </w:r>
    </w:p>
    <w:p>
      <w:pPr>
        <w:pStyle w:val="ListParagraph"/>
        <w:numPr>
          <w:ilvl w:val="0"/>
          <w:numId w:val="2"/>
        </w:numPr>
        <w:spacing w:after="60"/>
      </w:pPr>
      <w:r>
        <w:rPr>
          <w:rFonts w:ascii="Calibri" w:cs="Calibri" w:eastAsia="Calibri" w:hAnsi="Calibri"/>
          <w:color w:val="222222"/>
          <w:sz w:val="21"/>
          <w:szCs w:val="21"/>
        </w:rPr>
        <w:t xml:space="preserve">AI assists with drafting only. A person reviews and approves every AI-assisted statement before it is published.</w:t>
      </w:r>
    </w:p>
    <w:p>
      <w:pPr>
        <w:pStyle w:val="ListParagraph"/>
        <w:numPr>
          <w:ilvl w:val="0"/>
          <w:numId w:val="2"/>
        </w:numPr>
        <w:spacing w:after="60"/>
      </w:pPr>
      <w:r>
        <w:rPr>
          <w:rFonts w:ascii="Calibri" w:cs="Calibri" w:eastAsia="Calibri" w:hAnsi="Calibri"/>
          <w:color w:val="222222"/>
          <w:sz w:val="21"/>
          <w:szCs w:val="21"/>
        </w:rPr>
        <w:t xml:space="preserve">AI activity is logged and traceable for review.</w:t>
      </w:r>
    </w:p>
    <w:p>
      <w:pPr>
        <w:pStyle w:val="Heading2"/>
        <w:spacing w:after="100" w:before="260"/>
      </w:pPr>
      <w:r>
        <w:rPr>
          <w:rFonts w:ascii="Calibri" w:cs="Calibri" w:eastAsia="Calibri" w:hAnsi="Calibri"/>
          <w:b/>
          <w:bCs/>
          <w:color w:val="202A44"/>
          <w:sz w:val="26"/>
          <w:szCs w:val="26"/>
        </w:rPr>
        <w:t xml:space="preserve">6. Business continuity</w:t>
      </w:r>
    </w:p>
    <w:p>
      <w:pPr>
        <w:pStyle w:val="ListParagraph"/>
        <w:numPr>
          <w:ilvl w:val="0"/>
          <w:numId w:val="2"/>
        </w:numPr>
        <w:spacing w:after="60"/>
      </w:pPr>
      <w:r>
        <w:rPr>
          <w:rFonts w:ascii="Calibri" w:cs="Calibri" w:eastAsia="Calibri" w:hAnsi="Calibri"/>
          <w:color w:val="222222"/>
          <w:sz w:val="21"/>
          <w:szCs w:val="21"/>
        </w:rPr>
        <w:t xml:space="preserve">Data is backed up automatically, with point-in-time restore.</w:t>
      </w:r>
    </w:p>
    <w:p>
      <w:pPr>
        <w:pStyle w:val="ListParagraph"/>
        <w:numPr>
          <w:ilvl w:val="0"/>
          <w:numId w:val="2"/>
        </w:numPr>
        <w:spacing w:after="60"/>
      </w:pPr>
      <w:r>
        <w:rPr>
          <w:rFonts w:ascii="Calibri" w:cs="Calibri" w:eastAsia="Calibri" w:hAnsi="Calibri"/>
          <w:color w:val="222222"/>
          <w:sz w:val="21"/>
          <w:szCs w:val="21"/>
        </w:rPr>
        <w:t xml:space="preserve">The platform builds on redundant, managed cloud services.</w:t>
      </w:r>
    </w:p>
    <w:p>
      <w:pPr>
        <w:pStyle w:val="Heading2"/>
        <w:spacing w:after="100" w:before="260"/>
      </w:pPr>
      <w:r>
        <w:rPr>
          <w:rFonts w:ascii="Calibri" w:cs="Calibri" w:eastAsia="Calibri" w:hAnsi="Calibri"/>
          <w:b/>
          <w:bCs/>
          <w:color w:val="202A44"/>
          <w:sz w:val="26"/>
          <w:szCs w:val="26"/>
        </w:rPr>
        <w:t xml:space="preserve">7. Privacy &amp; data protection</w:t>
      </w:r>
    </w:p>
    <w:p>
      <w:pPr>
        <w:pStyle w:val="ListParagraph"/>
        <w:numPr>
          <w:ilvl w:val="0"/>
          <w:numId w:val="2"/>
        </w:numPr>
        <w:spacing w:after="60"/>
      </w:pPr>
      <w:r>
        <w:rPr>
          <w:rFonts w:ascii="Calibri" w:cs="Calibri" w:eastAsia="Calibri" w:hAnsi="Calibri"/>
          <w:color w:val="222222"/>
          <w:sz w:val="21"/>
          <w:szCs w:val="21"/>
        </w:rPr>
        <w:t xml:space="preserve">Personal data is stored and processed within the European Union.</w:t>
      </w:r>
    </w:p>
    <w:p>
      <w:pPr>
        <w:pStyle w:val="ListParagraph"/>
        <w:numPr>
          <w:ilvl w:val="0"/>
          <w:numId w:val="2"/>
        </w:numPr>
        <w:spacing w:after="60"/>
      </w:pPr>
      <w:r>
        <w:rPr>
          <w:rFonts w:ascii="Calibri" w:cs="Calibri" w:eastAsia="Calibri" w:hAnsi="Calibri"/>
          <w:color w:val="222222"/>
          <w:sz w:val="21"/>
          <w:szCs w:val="21"/>
        </w:rPr>
        <w:t xml:space="preserve">A limited set of sub-processors support the service, each bound by a data processing agreement. The current list is available on request.</w:t>
      </w:r>
    </w:p>
    <w:p>
      <w:pPr>
        <w:pStyle w:val="ListParagraph"/>
        <w:numPr>
          <w:ilvl w:val="0"/>
          <w:numId w:val="2"/>
        </w:numPr>
        <w:spacing w:after="60"/>
      </w:pPr>
      <w:r>
        <w:rPr>
          <w:rFonts w:ascii="Calibri" w:cs="Calibri" w:eastAsia="Calibri" w:hAnsi="Calibri"/>
          <w:color w:val="222222"/>
          <w:sz w:val="21"/>
          <w:szCs w:val="21"/>
        </w:rPr>
        <w:t xml:space="preserve">We limit the personal data we process to what the service requires (data minimisation).</w:t>
      </w:r>
    </w:p>
    <w:p>
      <w:pPr>
        <w:pStyle w:val="Heading2"/>
        <w:spacing w:after="100" w:before="260"/>
      </w:pPr>
      <w:r>
        <w:rPr>
          <w:rFonts w:ascii="Calibri" w:cs="Calibri" w:eastAsia="Calibri" w:hAnsi="Calibri"/>
          <w:b/>
          <w:bCs/>
          <w:color w:val="202A44"/>
          <w:sz w:val="26"/>
          <w:szCs w:val="26"/>
        </w:rPr>
        <w:t xml:space="preserve">8. Roadmap</w:t>
      </w:r>
    </w:p>
    <w:p>
      <w:pPr>
        <w:spacing w:after="120"/>
      </w:pPr>
      <w:r>
        <w:rPr>
          <w:rFonts w:ascii="Calibri" w:cs="Calibri" w:eastAsia="Calibri" w:hAnsi="Calibri"/>
          <w:color w:val="222222"/>
          <w:sz w:val="21"/>
          <w:szCs w:val="21"/>
        </w:rPr>
        <w:t xml:space="preserve">We are transparent about what is still in progress:</w:t>
      </w:r>
    </w:p>
    <w:p>
      <w:pPr>
        <w:pStyle w:val="ListParagraph"/>
        <w:numPr>
          <w:ilvl w:val="0"/>
          <w:numId w:val="2"/>
        </w:numPr>
        <w:spacing w:after="60"/>
      </w:pPr>
      <w:r>
        <w:rPr>
          <w:rFonts w:ascii="Calibri" w:cs="Calibri" w:eastAsia="Calibri" w:hAnsi="Calibri"/>
          <w:color w:val="222222"/>
          <w:sz w:val="21"/>
          <w:szCs w:val="21"/>
        </w:rPr>
        <w:t xml:space="preserve">SOC 2 Type II — establishing the control framework ahead of a formal audit.</w:t>
      </w:r>
    </w:p>
    <w:p>
      <w:pPr>
        <w:pStyle w:val="ListParagraph"/>
        <w:numPr>
          <w:ilvl w:val="0"/>
          <w:numId w:val="2"/>
        </w:numPr>
        <w:spacing w:after="60"/>
      </w:pPr>
      <w:r>
        <w:rPr>
          <w:rFonts w:ascii="Calibri" w:cs="Calibri" w:eastAsia="Calibri" w:hAnsi="Calibri"/>
          <w:color w:val="222222"/>
          <w:sz w:val="21"/>
          <w:szCs w:val="21"/>
        </w:rPr>
        <w:t xml:space="preserve">Independent penetration testing — scheduling regular third-party security testing.</w:t>
      </w:r>
    </w:p>
    <w:p>
      <w:pPr>
        <w:pStyle w:val="ListParagraph"/>
        <w:numPr>
          <w:ilvl w:val="0"/>
          <w:numId w:val="2"/>
        </w:numPr>
        <w:spacing w:after="60"/>
      </w:pPr>
      <w:r>
        <w:rPr>
          <w:rFonts w:ascii="Calibri" w:cs="Calibri" w:eastAsia="Calibri" w:hAnsi="Calibri"/>
          <w:color w:val="222222"/>
          <w:sz w:val="21"/>
          <w:szCs w:val="21"/>
        </w:rPr>
        <w:t xml:space="preserve">Continuous vulnerability scanning — automated dependency, code and container scanning across the pipeline.</w:t>
      </w:r>
    </w:p>
    <w:p>
      <w:pPr>
        <w:pStyle w:val="ListParagraph"/>
        <w:numPr>
          <w:ilvl w:val="0"/>
          <w:numId w:val="2"/>
        </w:numPr>
        <w:spacing w:after="60"/>
      </w:pPr>
      <w:r>
        <w:rPr>
          <w:rFonts w:ascii="Calibri" w:cs="Calibri" w:eastAsia="Calibri" w:hAnsi="Calibri"/>
          <w:color w:val="222222"/>
          <w:sz w:val="21"/>
          <w:szCs w:val="21"/>
        </w:rPr>
        <w:t xml:space="preserve">Published privacy documentation — privacy notice, customer DPA and data-subject-request process.</w:t>
      </w:r>
    </w:p>
    <w:p>
      <w:pPr>
        <w:pStyle w:val="ListParagraph"/>
        <w:numPr>
          <w:ilvl w:val="0"/>
          <w:numId w:val="2"/>
        </w:numPr>
        <w:spacing w:after="60"/>
      </w:pPr>
      <w:r>
        <w:rPr>
          <w:rFonts w:ascii="Calibri" w:cs="Calibri" w:eastAsia="Calibri" w:hAnsi="Calibri"/>
          <w:color w:val="222222"/>
          <w:sz w:val="21"/>
          <w:szCs w:val="21"/>
        </w:rPr>
        <w:t xml:space="preserve">AI data-retention attestation — formal confirmation of no-training and limited-retention terms for AI processing.</w:t>
      </w:r>
    </w:p>
    <w:p>
      <w:pPr>
        <w:pBdr>
          <w:bottom w:val="single" w:color="D8DEE8" w:sz="6" w:space="1"/>
        </w:pBdr>
        <w:spacing w:after="160" w:before="60"/>
      </w:pPr>
      <w:r>
        <w:t xml:space="preserve"/>
      </w:r>
    </w:p>
    <w:p>
      <w:pPr>
        <w:spacing w:after="120"/>
      </w:pPr>
      <w:r>
        <w:rPr>
          <w:rFonts w:ascii="Calibri" w:cs="Calibri" w:eastAsia="Calibri" w:hAnsi="Calibri"/>
          <w:color w:val="222222"/>
          <w:sz w:val="21"/>
          <w:szCs w:val="21"/>
        </w:rPr>
        <w:t xml:space="preserve">Questions? Contact our security team at security@firsthour.ai.</w:t>
      </w:r>
    </w:p>
    <w:sectPr>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472"/>
        <w:sz w:val="16"/>
        <w:szCs w:val="16"/>
      </w:rPr>
      <w:t xml:space="preserve">FirstHour — Technical &amp; Organisational Measures — Page </w:t>
    </w:r>
    <w:r>
      <w:rPr>
        <w:color w:val="5B6472"/>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rPr>
        <w:color w:val="35C64F"/>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FirstHour — Technical &amp; Organisational Measures</dc:title>
  <dc:creator>FirstHour</dc:creator>
  <cp:lastModifiedBy>Un-named</cp:lastModifiedBy>
  <cp:revision>1</cp:revision>
  <dcterms:created xsi:type="dcterms:W3CDTF">2026-08-21T15:01:58.380Z</dcterms:created>
  <dcterms:modified xsi:type="dcterms:W3CDTF">2026-08-21T15:01:58.381Z</dcterms:modified>
</cp:coreProperties>
</file>

<file path=docProps/custom.xml><?xml version="1.0" encoding="utf-8"?>
<Properties xmlns="http://schemas.openxmlformats.org/officeDocument/2006/custom-properties" xmlns:vt="http://schemas.openxmlformats.org/officeDocument/2006/docPropsVTypes"/>
</file>